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0"/>
        <w:tblpPr w:leftFromText="180" w:rightFromText="180" w:vertAnchor="page" w:horzAnchor="margin" w:tblpY="1141"/>
        <w:tblW w:w="15133" w:type="dxa"/>
        <w:tblLook w:val="04A0" w:firstRow="1" w:lastRow="0" w:firstColumn="1" w:lastColumn="0" w:noHBand="0" w:noVBand="1"/>
      </w:tblPr>
      <w:tblGrid>
        <w:gridCol w:w="3169"/>
        <w:gridCol w:w="6684"/>
        <w:gridCol w:w="5280"/>
      </w:tblGrid>
      <w:tr w:rsidR="002F491E" w:rsidRPr="00AF51A7" w14:paraId="55E29046" w14:textId="77777777" w:rsidTr="27C226E1">
        <w:trPr>
          <w:trHeight w:val="889"/>
        </w:trPr>
        <w:tc>
          <w:tcPr>
            <w:tcW w:w="3169" w:type="dxa"/>
          </w:tcPr>
          <w:p w14:paraId="4B426167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Main Subject Focus</w:t>
            </w:r>
          </w:p>
          <w:p w14:paraId="4C9F76BF" w14:textId="7A37AC1F" w:rsidR="002F491E" w:rsidRPr="00AF51A7" w:rsidRDefault="002F491E" w:rsidP="001046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  <w:p w14:paraId="1C9B5E6C" w14:textId="77777777" w:rsidR="002F491E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Key Concepts Taught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971CCF4" w14:textId="77777777" w:rsidR="002F491E" w:rsidRDefault="002F491E" w:rsidP="002F491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91E">
              <w:rPr>
                <w:rFonts w:asciiTheme="minorHAnsi" w:hAnsiTheme="minorHAnsi" w:cstheme="minorHAnsi"/>
                <w:bCs/>
                <w:sz w:val="16"/>
                <w:szCs w:val="16"/>
              </w:rPr>
              <w:t>Chronological Knowledge</w:t>
            </w:r>
          </w:p>
          <w:p w14:paraId="0BDF90EC" w14:textId="6B44180A" w:rsidR="002F491E" w:rsidRPr="00AF51A7" w:rsidRDefault="002F491E" w:rsidP="002F491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91E">
              <w:rPr>
                <w:rFonts w:asciiTheme="minorHAnsi" w:hAnsiTheme="minorHAnsi" w:cstheme="minorHAnsi"/>
                <w:bCs/>
                <w:sz w:val="16"/>
                <w:szCs w:val="16"/>
              </w:rPr>
              <w:t>Understanding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2F491E">
              <w:rPr>
                <w:rFonts w:asciiTheme="minorHAnsi" w:hAnsiTheme="minorHAnsi" w:cstheme="minorHAnsi"/>
                <w:bCs/>
                <w:sz w:val="16"/>
                <w:szCs w:val="16"/>
              </w:rPr>
              <w:t>Significant Events and People</w:t>
            </w:r>
          </w:p>
        </w:tc>
        <w:tc>
          <w:tcPr>
            <w:tcW w:w="6684" w:type="dxa"/>
          </w:tcPr>
          <w:p w14:paraId="1AC75333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Intent: Why?</w:t>
            </w:r>
          </w:p>
          <w:p w14:paraId="6BCF9E78" w14:textId="69E21DF4" w:rsidR="002F491E" w:rsidRPr="00AF51A7" w:rsidRDefault="002F491E" w:rsidP="001046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sz w:val="16"/>
                <w:szCs w:val="16"/>
              </w:rPr>
              <w:t xml:space="preserve">Children will gain an understanding of </w:t>
            </w:r>
            <w:r w:rsidR="00D13248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="00D13248" w:rsidRPr="00D13248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="00D13248">
              <w:rPr>
                <w:rFonts w:asciiTheme="minorHAnsi" w:hAnsiTheme="minorHAnsi" w:cstheme="minorHAnsi"/>
                <w:sz w:val="16"/>
                <w:szCs w:val="16"/>
              </w:rPr>
              <w:t xml:space="preserve"> Century exploration. </w:t>
            </w:r>
            <w:r w:rsidRPr="00AF51A7">
              <w:rPr>
                <w:rFonts w:asciiTheme="minorHAnsi" w:hAnsiTheme="minorHAnsi" w:cstheme="minorHAnsi"/>
                <w:sz w:val="16"/>
                <w:szCs w:val="16"/>
              </w:rPr>
              <w:t xml:space="preserve">They will develop </w:t>
            </w:r>
            <w:r w:rsidR="00D13248">
              <w:rPr>
                <w:rFonts w:asciiTheme="minorHAnsi" w:hAnsiTheme="minorHAnsi" w:cstheme="minorHAnsi"/>
                <w:sz w:val="16"/>
                <w:szCs w:val="16"/>
              </w:rPr>
              <w:t xml:space="preserve">an </w:t>
            </w:r>
            <w:r w:rsidRPr="00AF51A7">
              <w:rPr>
                <w:rFonts w:asciiTheme="minorHAnsi" w:hAnsiTheme="minorHAnsi" w:cstheme="minorHAnsi"/>
                <w:sz w:val="16"/>
                <w:szCs w:val="16"/>
              </w:rPr>
              <w:t>understanding of</w:t>
            </w:r>
            <w:r w:rsidR="004200E6">
              <w:rPr>
                <w:rFonts w:asciiTheme="minorHAnsi" w:hAnsiTheme="minorHAnsi" w:cstheme="minorHAnsi"/>
                <w:sz w:val="16"/>
                <w:szCs w:val="16"/>
              </w:rPr>
              <w:t xml:space="preserve"> how national history is impacted by </w:t>
            </w:r>
            <w:r w:rsidR="00D13248">
              <w:rPr>
                <w:rFonts w:asciiTheme="minorHAnsi" w:hAnsiTheme="minorHAnsi" w:cstheme="minorHAnsi"/>
                <w:sz w:val="16"/>
                <w:szCs w:val="16"/>
              </w:rPr>
              <w:t xml:space="preserve">significant individuals </w:t>
            </w:r>
            <w:r w:rsidR="005A24F5">
              <w:rPr>
                <w:rFonts w:asciiTheme="minorHAnsi" w:hAnsiTheme="minorHAnsi" w:cstheme="minorHAnsi"/>
                <w:sz w:val="16"/>
                <w:szCs w:val="16"/>
              </w:rPr>
              <w:t>from the local area</w:t>
            </w:r>
            <w:r w:rsidR="004200E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BE39B7">
              <w:rPr>
                <w:rFonts w:asciiTheme="minorHAnsi" w:hAnsiTheme="minorHAnsi" w:cstheme="minorHAnsi"/>
                <w:sz w:val="16"/>
                <w:szCs w:val="16"/>
              </w:rPr>
              <w:t xml:space="preserve">This will inspire children’s curiosity about </w:t>
            </w:r>
            <w:r w:rsidR="001011C8">
              <w:rPr>
                <w:rFonts w:asciiTheme="minorHAnsi" w:hAnsiTheme="minorHAnsi" w:cstheme="minorHAnsi"/>
                <w:sz w:val="16"/>
                <w:szCs w:val="16"/>
              </w:rPr>
              <w:t>the history of their local area and the wider world.</w:t>
            </w:r>
            <w:r w:rsidR="00F743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80" w:type="dxa"/>
          </w:tcPr>
          <w:p w14:paraId="16FF64B9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Links to prior and wider learning</w:t>
            </w:r>
          </w:p>
          <w:p w14:paraId="6BBACB44" w14:textId="795E1D10" w:rsidR="0058533B" w:rsidRDefault="002F491E" w:rsidP="005853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sz w:val="16"/>
                <w:szCs w:val="16"/>
              </w:rPr>
              <w:t xml:space="preserve">Links to </w:t>
            </w:r>
            <w:r w:rsidR="009D1305">
              <w:rPr>
                <w:rFonts w:asciiTheme="minorHAnsi" w:hAnsiTheme="minorHAnsi" w:cstheme="minorHAnsi"/>
                <w:sz w:val="16"/>
                <w:szCs w:val="16"/>
              </w:rPr>
              <w:t xml:space="preserve">History and </w:t>
            </w:r>
            <w:r w:rsidRPr="00AF51A7">
              <w:rPr>
                <w:rFonts w:asciiTheme="minorHAnsi" w:hAnsiTheme="minorHAnsi" w:cstheme="minorHAnsi"/>
                <w:sz w:val="16"/>
                <w:szCs w:val="16"/>
              </w:rPr>
              <w:t xml:space="preserve">Geography units which broaden </w:t>
            </w:r>
            <w:r w:rsidR="009D1305">
              <w:rPr>
                <w:rFonts w:asciiTheme="minorHAnsi" w:hAnsiTheme="minorHAnsi" w:cstheme="minorHAnsi"/>
                <w:sz w:val="16"/>
                <w:szCs w:val="16"/>
              </w:rPr>
              <w:t>the children’s understanding of significant</w:t>
            </w:r>
            <w:r w:rsidR="0058533B">
              <w:rPr>
                <w:rFonts w:asciiTheme="minorHAnsi" w:hAnsiTheme="minorHAnsi" w:cstheme="minorHAnsi"/>
                <w:sz w:val="16"/>
                <w:szCs w:val="16"/>
              </w:rPr>
              <w:t xml:space="preserve"> people</w:t>
            </w:r>
            <w:r w:rsidR="0037797A">
              <w:rPr>
                <w:rFonts w:asciiTheme="minorHAnsi" w:hAnsiTheme="minorHAnsi" w:cstheme="minorHAnsi"/>
                <w:sz w:val="16"/>
                <w:szCs w:val="16"/>
              </w:rPr>
              <w:t xml:space="preserve"> and events. </w:t>
            </w:r>
            <w:r w:rsidR="005853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7FD386" w14:textId="5C12348C" w:rsidR="002F491E" w:rsidRPr="00AF51A7" w:rsidRDefault="006C7A65" w:rsidP="0058533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Read</w:t>
            </w:r>
            <w:r w:rsidR="0058533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All about It,</w:t>
            </w:r>
            <w:r w:rsidR="006D7C1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Castles, Crowns and Coronations,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Invasion!</w:t>
            </w:r>
            <w:r w:rsidR="00C71B1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</w:t>
            </w:r>
            <w:proofErr w:type="gramEnd"/>
            <w:r w:rsidR="00C71B1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Goodnight Mr Tom, Out of this World, </w:t>
            </w:r>
            <w:r w:rsidR="002F49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Expedition Europe, </w:t>
            </w:r>
          </w:p>
        </w:tc>
      </w:tr>
      <w:tr w:rsidR="002F491E" w:rsidRPr="00AF51A7" w14:paraId="2E2877A0" w14:textId="77777777" w:rsidTr="27C226E1">
        <w:trPr>
          <w:trHeight w:val="633"/>
        </w:trPr>
        <w:tc>
          <w:tcPr>
            <w:tcW w:w="15133" w:type="dxa"/>
            <w:gridSpan w:val="3"/>
          </w:tcPr>
          <w:p w14:paraId="6FC5AA0A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Wider curriculum links:</w:t>
            </w:r>
          </w:p>
          <w:p w14:paraId="4DA42B93" w14:textId="23B8982D" w:rsidR="002F491E" w:rsidRPr="00AF51A7" w:rsidRDefault="00D42206" w:rsidP="001046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English – Postcards, Recounts </w:t>
            </w:r>
          </w:p>
        </w:tc>
      </w:tr>
      <w:tr w:rsidR="002F491E" w:rsidRPr="00AF51A7" w14:paraId="00FA257F" w14:textId="77777777" w:rsidTr="27C226E1">
        <w:trPr>
          <w:trHeight w:val="770"/>
        </w:trPr>
        <w:tc>
          <w:tcPr>
            <w:tcW w:w="15133" w:type="dxa"/>
            <w:gridSpan w:val="3"/>
          </w:tcPr>
          <w:p w14:paraId="61820B11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Key Texts:</w:t>
            </w:r>
          </w:p>
          <w:p w14:paraId="54EF7220" w14:textId="7D1EF55C" w:rsidR="002F491E" w:rsidRPr="00AF51A7" w:rsidRDefault="0089398E" w:rsidP="008939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398E">
              <w:rPr>
                <w:rFonts w:asciiTheme="minorHAnsi" w:hAnsiTheme="minorHAnsi" w:cstheme="minorHAnsi"/>
                <w:sz w:val="16"/>
                <w:szCs w:val="16"/>
              </w:rPr>
              <w:t>Owl at Midnight: a story of Gwenllian the lost Princess of Wales by Patricia Lennan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F491E" w:rsidRPr="00AF51A7" w14:paraId="53DDA80A" w14:textId="77777777" w:rsidTr="27C226E1">
        <w:trPr>
          <w:trHeight w:val="633"/>
        </w:trPr>
        <w:tc>
          <w:tcPr>
            <w:tcW w:w="15133" w:type="dxa"/>
            <w:gridSpan w:val="3"/>
          </w:tcPr>
          <w:p w14:paraId="177D33E2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Key Vocabulary/ Etymology</w:t>
            </w:r>
          </w:p>
          <w:p w14:paraId="393C282A" w14:textId="6F84E4EC" w:rsidR="002F491E" w:rsidRPr="00AF51A7" w:rsidRDefault="002A2E4A" w:rsidP="001046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St. Gilbert, Sempringham, Abbey, Gwenllian, </w:t>
            </w:r>
            <w:r w:rsidR="00BA48D1">
              <w:rPr>
                <w:rFonts w:asciiTheme="minorHAnsi" w:hAnsiTheme="minorHAnsi" w:cstheme="minorHAnsi"/>
                <w:sz w:val="16"/>
                <w:szCs w:val="16"/>
              </w:rPr>
              <w:t xml:space="preserve">Gilbertine, </w:t>
            </w:r>
            <w:r w:rsidR="009563F5">
              <w:rPr>
                <w:rFonts w:asciiTheme="minorHAnsi" w:hAnsiTheme="minorHAnsi" w:cstheme="minorHAnsi"/>
                <w:sz w:val="16"/>
                <w:szCs w:val="16"/>
              </w:rPr>
              <w:t xml:space="preserve">priest, saint, </w:t>
            </w:r>
          </w:p>
        </w:tc>
      </w:tr>
      <w:tr w:rsidR="002F491E" w:rsidRPr="00AF51A7" w14:paraId="2A95CA88" w14:textId="77777777" w:rsidTr="27C226E1">
        <w:trPr>
          <w:trHeight w:val="633"/>
        </w:trPr>
        <w:tc>
          <w:tcPr>
            <w:tcW w:w="15133" w:type="dxa"/>
            <w:gridSpan w:val="3"/>
          </w:tcPr>
          <w:p w14:paraId="79846271" w14:textId="77777777" w:rsidR="002F491E" w:rsidRPr="00AF51A7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>Wow moment</w:t>
            </w:r>
          </w:p>
          <w:p w14:paraId="66C18EF2" w14:textId="33913BA6" w:rsidR="002F491E" w:rsidRPr="00AF51A7" w:rsidRDefault="00FF4005" w:rsidP="008100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Visit to </w:t>
            </w:r>
            <w:r w:rsidR="008100B9" w:rsidRPr="008100B9">
              <w:rPr>
                <w:rFonts w:asciiTheme="minorHAnsi" w:hAnsiTheme="minorHAnsi" w:cstheme="minorHAnsi"/>
                <w:sz w:val="16"/>
                <w:szCs w:val="16"/>
              </w:rPr>
              <w:t>St Andrews Abbey Church, Sempringham</w:t>
            </w:r>
          </w:p>
        </w:tc>
      </w:tr>
      <w:tr w:rsidR="002F491E" w:rsidRPr="00AF51A7" w14:paraId="2C54410E" w14:textId="77777777" w:rsidTr="27C226E1">
        <w:trPr>
          <w:trHeight w:val="2981"/>
        </w:trPr>
        <w:tc>
          <w:tcPr>
            <w:tcW w:w="15133" w:type="dxa"/>
            <w:gridSpan w:val="3"/>
          </w:tcPr>
          <w:p w14:paraId="4F879D78" w14:textId="65BBE03A" w:rsidR="002F491E" w:rsidRPr="00AF51A7" w:rsidRDefault="003F7790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Historical</w:t>
            </w:r>
            <w:r w:rsidR="002F491E" w:rsidRPr="00AF51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Knowledge</w:t>
            </w:r>
          </w:p>
          <w:tbl>
            <w:tblPr>
              <w:tblStyle w:val="TableGrid10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7391"/>
              <w:gridCol w:w="7391"/>
            </w:tblGrid>
            <w:tr w:rsidR="002F491E" w:rsidRPr="00AF51A7" w14:paraId="22EA79F7" w14:textId="77777777" w:rsidTr="00243143">
              <w:trPr>
                <w:trHeight w:val="2487"/>
              </w:trPr>
              <w:tc>
                <w:tcPr>
                  <w:tcW w:w="7391" w:type="dxa"/>
                </w:tcPr>
                <w:p w14:paraId="3E3AC403" w14:textId="72E256A2" w:rsidR="002F491E" w:rsidRPr="00AF51A7" w:rsidRDefault="002F491E" w:rsidP="006E1C12">
                  <w:pPr>
                    <w:framePr w:hSpace="180" w:wrap="around" w:vAnchor="page" w:hAnchor="margin" w:y="1141"/>
                    <w:autoSpaceDE w:val="0"/>
                    <w:autoSpaceDN w:val="0"/>
                    <w:adjustRightInd w:val="0"/>
                    <w:spacing w:after="10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F51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KS1</w:t>
                  </w:r>
                </w:p>
                <w:p w14:paraId="04131280" w14:textId="631B195E" w:rsidR="00BC2CD3" w:rsidRPr="00BC2CD3" w:rsidRDefault="00BC2CD3" w:rsidP="006E1C12">
                  <w:pPr>
                    <w:framePr w:hSpace="180" w:wrap="around" w:vAnchor="page" w:hAnchor="margin" w:y="114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C2C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events beyond living memory that are significant nationally or globally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14:paraId="1584A4CB" w14:textId="2AD44795" w:rsidR="00BC2CD3" w:rsidRDefault="00BC2CD3" w:rsidP="006E1C12">
                  <w:pPr>
                    <w:framePr w:hSpace="180" w:wrap="around" w:vAnchor="page" w:hAnchor="margin" w:y="114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C2C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the lives of significant individuals in the past who have contributed to national and international achievements. Some should be used to compare aspects of life in different periods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14:paraId="109A9167" w14:textId="12697727" w:rsidR="002F491E" w:rsidRPr="00E2089E" w:rsidRDefault="00BC2CD3" w:rsidP="006E1C12">
                  <w:pPr>
                    <w:framePr w:hSpace="180" w:wrap="around" w:vAnchor="page" w:hAnchor="margin" w:y="114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C2C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significant historical events, people and places in their own locality.</w:t>
                  </w:r>
                </w:p>
              </w:tc>
              <w:tc>
                <w:tcPr>
                  <w:tcW w:w="7391" w:type="dxa"/>
                </w:tcPr>
                <w:p w14:paraId="14C8CEEC" w14:textId="77777777" w:rsidR="002F491E" w:rsidRPr="00AF51A7" w:rsidRDefault="002F491E" w:rsidP="006E1C12">
                  <w:pPr>
                    <w:framePr w:hSpace="180" w:wrap="around" w:vAnchor="page" w:hAnchor="margin" w:y="1141"/>
                    <w:autoSpaceDE w:val="0"/>
                    <w:autoSpaceDN w:val="0"/>
                    <w:adjustRightInd w:val="0"/>
                    <w:spacing w:after="10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F51A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KS2</w:t>
                  </w:r>
                </w:p>
                <w:p w14:paraId="0312FF22" w14:textId="77777777" w:rsidR="00295CCC" w:rsidRPr="00295CCC" w:rsidRDefault="00295CCC" w:rsidP="006E1C12">
                  <w:pPr>
                    <w:framePr w:hSpace="180" w:wrap="around" w:vAnchor="page" w:hAnchor="margin" w:y="114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95CC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 local history study</w:t>
                  </w:r>
                </w:p>
                <w:p w14:paraId="0AD28010" w14:textId="77777777" w:rsidR="00295CCC" w:rsidRPr="00295CCC" w:rsidRDefault="00295CCC" w:rsidP="006E1C12">
                  <w:pPr>
                    <w:framePr w:hSpace="180" w:wrap="around" w:vAnchor="page" w:hAnchor="margin" w:y="1141"/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95CC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Examples (non-statutory)</w:t>
                  </w:r>
                </w:p>
                <w:p w14:paraId="184F4F2D" w14:textId="5D36B3C6" w:rsidR="00295CCC" w:rsidRPr="00295CCC" w:rsidRDefault="00295CCC" w:rsidP="006E1C12">
                  <w:pPr>
                    <w:framePr w:hSpace="180" w:wrap="around" w:vAnchor="page" w:hAnchor="margin" w:y="114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95CC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 study over time tracing how several aspects of national history are reflected in the locality (this can go beyond 1066)</w:t>
                  </w:r>
                </w:p>
                <w:p w14:paraId="5647FE0F" w14:textId="695A28E4" w:rsidR="002F491E" w:rsidRPr="00AF51A7" w:rsidRDefault="00295CCC" w:rsidP="006E1C12">
                  <w:pPr>
                    <w:framePr w:hSpace="180" w:wrap="around" w:vAnchor="page" w:hAnchor="margin" w:y="114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95CC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 study of an aspect of history or a site dating from a period beyond 1066 that is significant in the locality.</w:t>
                  </w:r>
                </w:p>
              </w:tc>
            </w:tr>
          </w:tbl>
          <w:p w14:paraId="1855BD84" w14:textId="77777777" w:rsidR="002F491E" w:rsidRPr="00AF51A7" w:rsidRDefault="002F491E" w:rsidP="001046C4">
            <w:pPr>
              <w:autoSpaceDE w:val="0"/>
              <w:autoSpaceDN w:val="0"/>
              <w:adjustRightInd w:val="0"/>
              <w:spacing w:after="10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91E" w:rsidRPr="00AF51A7" w14:paraId="1A50F5E3" w14:textId="77777777" w:rsidTr="27C226E1">
        <w:trPr>
          <w:trHeight w:val="1280"/>
        </w:trPr>
        <w:tc>
          <w:tcPr>
            <w:tcW w:w="15133" w:type="dxa"/>
            <w:gridSpan w:val="3"/>
          </w:tcPr>
          <w:p w14:paraId="3750703B" w14:textId="77777777" w:rsidR="002F491E" w:rsidRDefault="002F491E" w:rsidP="001046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 this unit, pupils will learn:</w:t>
            </w:r>
          </w:p>
          <w:p w14:paraId="6A70FADE" w14:textId="5A36A133" w:rsidR="006C5EE2" w:rsidRDefault="00906864" w:rsidP="002F491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Life and significance of </w:t>
            </w:r>
            <w:r w:rsidRPr="00906864">
              <w:rPr>
                <w:rFonts w:asciiTheme="minorHAnsi" w:hAnsiTheme="minorHAnsi" w:cstheme="minorHAnsi"/>
                <w:b/>
                <w:sz w:val="16"/>
                <w:szCs w:val="16"/>
              </w:rPr>
              <w:t>St Gilbert of Sempringham</w:t>
            </w:r>
          </w:p>
          <w:p w14:paraId="62B22557" w14:textId="3DABEE9A" w:rsidR="00906864" w:rsidRDefault="00E27548" w:rsidP="002F491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History and significance of Sem</w:t>
            </w:r>
            <w:r w:rsidR="006A59D5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ringham Abbey </w:t>
            </w:r>
          </w:p>
          <w:p w14:paraId="00BE2B30" w14:textId="77777777" w:rsidR="00B25B4E" w:rsidRDefault="00E47DAA" w:rsidP="002F491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Life </w:t>
            </w:r>
            <w:r w:rsidR="00B25B4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 </w:t>
            </w:r>
            <w:r w:rsidR="008313DB" w:rsidRPr="008313DB">
              <w:rPr>
                <w:rFonts w:asciiTheme="minorHAnsi" w:hAnsiTheme="minorHAnsi" w:cstheme="minorHAnsi"/>
                <w:b/>
                <w:sz w:val="16"/>
                <w:szCs w:val="16"/>
              </w:rPr>
              <w:t>Gwenllian, The L</w:t>
            </w:r>
            <w:r w:rsidR="00D810FA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8313DB" w:rsidRPr="008313DB">
              <w:rPr>
                <w:rFonts w:asciiTheme="minorHAnsi" w:hAnsiTheme="minorHAnsi" w:cstheme="minorHAnsi"/>
                <w:b/>
                <w:sz w:val="16"/>
                <w:szCs w:val="16"/>
              </w:rPr>
              <w:t>st Princess of Wales</w:t>
            </w:r>
          </w:p>
          <w:p w14:paraId="2492443F" w14:textId="2BC57D33" w:rsidR="00E27548" w:rsidRPr="005619EA" w:rsidRDefault="00B25B4E" w:rsidP="002F491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Legacy of</w:t>
            </w:r>
            <w:r w:rsidR="008313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England’s conflict with Wales</w:t>
            </w:r>
            <w:r w:rsidR="008679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local history linked to national history </w:t>
            </w:r>
          </w:p>
        </w:tc>
      </w:tr>
      <w:tr w:rsidR="27C226E1" w14:paraId="5AA664B7" w14:textId="77777777" w:rsidTr="003401B3">
        <w:trPr>
          <w:trHeight w:val="708"/>
        </w:trPr>
        <w:tc>
          <w:tcPr>
            <w:tcW w:w="15133" w:type="dxa"/>
            <w:gridSpan w:val="3"/>
          </w:tcPr>
          <w:p w14:paraId="30FE0F9E" w14:textId="287BFFE7" w:rsidR="27C226E1" w:rsidRDefault="27C226E1" w:rsidP="27C226E1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27C226E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School Values- Aspiration and Inspiration- How did local people in history aspire to do amazing things, what has been their legacy? How are they inspirational for our locality?</w:t>
            </w:r>
          </w:p>
          <w:p w14:paraId="02B8D227" w14:textId="757CF607" w:rsidR="27C226E1" w:rsidRDefault="27C226E1" w:rsidP="27C226E1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27C226E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British Values- What are British Values and why are they important? What is it to be part of a community? Why is it important to have values? What values are important to us?</w:t>
            </w:r>
            <w:r w:rsidR="0045446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2EF5C681" w14:textId="5683AAB5" w:rsidR="002F491E" w:rsidRPr="00AF51A7" w:rsidRDefault="007D08A4" w:rsidP="002F491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bCs/>
          <w:sz w:val="16"/>
          <w:szCs w:val="16"/>
          <w:u w:val="single"/>
        </w:rPr>
        <w:t>Tales of the Abbey</w:t>
      </w:r>
    </w:p>
    <w:p w14:paraId="51E8699F" w14:textId="77777777" w:rsidR="002F491E" w:rsidRDefault="002F491E"/>
    <w:sectPr w:rsidR="002F491E" w:rsidSect="00AF5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C5DF8"/>
    <w:multiLevelType w:val="hybridMultilevel"/>
    <w:tmpl w:val="581C8D10"/>
    <w:lvl w:ilvl="0" w:tplc="25A6AE2C">
      <w:numFmt w:val="bullet"/>
      <w:lvlText w:val=""/>
      <w:lvlJc w:val="left"/>
      <w:pPr>
        <w:ind w:left="359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5BE64C90"/>
    <w:multiLevelType w:val="hybridMultilevel"/>
    <w:tmpl w:val="15025AC2"/>
    <w:lvl w:ilvl="0" w:tplc="A9269C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144483">
    <w:abstractNumId w:val="0"/>
  </w:num>
  <w:num w:numId="2" w16cid:durableId="122560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1E"/>
    <w:rsid w:val="00036064"/>
    <w:rsid w:val="00055250"/>
    <w:rsid w:val="00100960"/>
    <w:rsid w:val="001011C8"/>
    <w:rsid w:val="001D7BED"/>
    <w:rsid w:val="00243143"/>
    <w:rsid w:val="00295CCC"/>
    <w:rsid w:val="002A2E4A"/>
    <w:rsid w:val="002D3F8E"/>
    <w:rsid w:val="002F491E"/>
    <w:rsid w:val="00316AAD"/>
    <w:rsid w:val="003249E7"/>
    <w:rsid w:val="003401B3"/>
    <w:rsid w:val="0037797A"/>
    <w:rsid w:val="003F7790"/>
    <w:rsid w:val="004200E6"/>
    <w:rsid w:val="00454464"/>
    <w:rsid w:val="00477742"/>
    <w:rsid w:val="0051098C"/>
    <w:rsid w:val="0058533B"/>
    <w:rsid w:val="00593844"/>
    <w:rsid w:val="005A24F5"/>
    <w:rsid w:val="00630844"/>
    <w:rsid w:val="006732E0"/>
    <w:rsid w:val="006A59D5"/>
    <w:rsid w:val="006B173D"/>
    <w:rsid w:val="006C5EE2"/>
    <w:rsid w:val="006C7A65"/>
    <w:rsid w:val="006D47BE"/>
    <w:rsid w:val="006D7C11"/>
    <w:rsid w:val="006E1C12"/>
    <w:rsid w:val="006E798F"/>
    <w:rsid w:val="00742270"/>
    <w:rsid w:val="007622F0"/>
    <w:rsid w:val="00796C26"/>
    <w:rsid w:val="007C5D07"/>
    <w:rsid w:val="007D08A4"/>
    <w:rsid w:val="0080294B"/>
    <w:rsid w:val="008100B9"/>
    <w:rsid w:val="008313DB"/>
    <w:rsid w:val="0085795E"/>
    <w:rsid w:val="008679F4"/>
    <w:rsid w:val="0089398E"/>
    <w:rsid w:val="008C242C"/>
    <w:rsid w:val="00906864"/>
    <w:rsid w:val="00920628"/>
    <w:rsid w:val="00926CF9"/>
    <w:rsid w:val="009563F5"/>
    <w:rsid w:val="009D1305"/>
    <w:rsid w:val="00A06CC6"/>
    <w:rsid w:val="00A14746"/>
    <w:rsid w:val="00A4661E"/>
    <w:rsid w:val="00A94E80"/>
    <w:rsid w:val="00AD40B7"/>
    <w:rsid w:val="00AE524D"/>
    <w:rsid w:val="00AF1960"/>
    <w:rsid w:val="00B11218"/>
    <w:rsid w:val="00B25B4E"/>
    <w:rsid w:val="00BA48D1"/>
    <w:rsid w:val="00BC2CD3"/>
    <w:rsid w:val="00BE39B7"/>
    <w:rsid w:val="00C657EF"/>
    <w:rsid w:val="00C70D0E"/>
    <w:rsid w:val="00C71B1A"/>
    <w:rsid w:val="00C74492"/>
    <w:rsid w:val="00C85D84"/>
    <w:rsid w:val="00CF5D28"/>
    <w:rsid w:val="00D13248"/>
    <w:rsid w:val="00D42206"/>
    <w:rsid w:val="00D810FA"/>
    <w:rsid w:val="00E27548"/>
    <w:rsid w:val="00E47DAA"/>
    <w:rsid w:val="00E75EA0"/>
    <w:rsid w:val="00EC29AA"/>
    <w:rsid w:val="00EE3DD0"/>
    <w:rsid w:val="00F7439F"/>
    <w:rsid w:val="00FF4005"/>
    <w:rsid w:val="0E061CF0"/>
    <w:rsid w:val="27C226E1"/>
    <w:rsid w:val="3D8F4009"/>
    <w:rsid w:val="7122B0F4"/>
    <w:rsid w:val="736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A9EE"/>
  <w15:chartTrackingRefBased/>
  <w15:docId w15:val="{B6C55FF0-C323-4DEC-9DBA-C22AFA1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1E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39"/>
    <w:rsid w:val="002F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91E"/>
    <w:pPr>
      <w:ind w:left="720"/>
      <w:contextualSpacing/>
    </w:pPr>
  </w:style>
  <w:style w:type="table" w:styleId="TableGrid">
    <w:name w:val="Table Grid"/>
    <w:basedOn w:val="TableNormal"/>
    <w:uiPriority w:val="39"/>
    <w:rsid w:val="002F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9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8" ma:contentTypeDescription="Create a new document." ma:contentTypeScope="" ma:versionID="d76513b436e1297970190385fdf727c4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beee13c771cd6d74cf3bdc8ca3bce04b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AA2CE-BD0B-4E35-AB97-8A6EEFD125B2}">
  <ds:schemaRefs>
    <ds:schemaRef ds:uri="http://schemas.microsoft.com/office/2006/metadata/properties"/>
    <ds:schemaRef ds:uri="http://schemas.microsoft.com/office/infopath/2007/PartnerControls"/>
    <ds:schemaRef ds:uri="47f19b77-9183-4fc2-bb77-da09682717ed"/>
    <ds:schemaRef ds:uri="4aa0b2aa-ae8d-4d1d-a89c-3d0d53edecf4"/>
  </ds:schemaRefs>
</ds:datastoreItem>
</file>

<file path=customXml/itemProps2.xml><?xml version="1.0" encoding="utf-8"?>
<ds:datastoreItem xmlns:ds="http://schemas.openxmlformats.org/officeDocument/2006/customXml" ds:itemID="{E6D1BF0A-558A-4B6C-930B-9AB3156B4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55C0F-8C16-4CD1-855C-37C50C815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Winfield</dc:creator>
  <cp:keywords/>
  <dc:description/>
  <cp:lastModifiedBy>Hannah Winfield</cp:lastModifiedBy>
  <cp:revision>30</cp:revision>
  <dcterms:created xsi:type="dcterms:W3CDTF">2024-07-02T08:05:00Z</dcterms:created>
  <dcterms:modified xsi:type="dcterms:W3CDTF">2024-07-02T09:59:00Z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